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15" w:rsidRPr="00404C6A" w:rsidRDefault="00F26015" w:rsidP="00404C6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FB0520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FB0520">
        <w:rPr>
          <w:rFonts w:ascii="Times New Roman" w:hAnsi="Times New Roman" w:cs="Times New Roman"/>
          <w:sz w:val="24"/>
          <w:szCs w:val="24"/>
          <w:lang w:val="sr-Cyrl-CS"/>
        </w:rPr>
        <w:t xml:space="preserve"> 58.</w:t>
      </w:r>
      <w:bookmarkStart w:id="0" w:name="_GoBack"/>
      <w:bookmarkEnd w:id="0"/>
      <w:r w:rsidR="00FB0520" w:rsidRPr="00FB0520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локалној самоуправи ("Службени гласник РС", бр.129/2007, 83/14, 101/16,47/18 и 111/2021 – др.закон), </w:t>
      </w:r>
      <w:r w:rsidR="00FB0520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58. Закона о запосленима у аутономним покрајинама и јединицама локалне самоуправе („Сл.гласник РС“, </w:t>
      </w:r>
      <w:r w:rsidR="003D2B74" w:rsidRPr="00404C6A">
        <w:rPr>
          <w:rFonts w:ascii="Times New Roman" w:hAnsi="Times New Roman" w:cs="Times New Roman"/>
          <w:sz w:val="24"/>
          <w:szCs w:val="24"/>
          <w:lang w:val="sr-Cyrl-CS"/>
        </w:rPr>
        <w:t>бр.21/2016, 113/2017, 95/2018</w:t>
      </w:r>
      <w:r w:rsidR="003D2B74" w:rsidRPr="00404C6A">
        <w:rPr>
          <w:rFonts w:ascii="Times New Roman" w:hAnsi="Times New Roman" w:cs="Times New Roman"/>
          <w:sz w:val="24"/>
          <w:szCs w:val="24"/>
        </w:rPr>
        <w:t>,</w:t>
      </w:r>
      <w:r w:rsidRPr="00404C6A">
        <w:rPr>
          <w:rFonts w:ascii="Times New Roman" w:hAnsi="Times New Roman" w:cs="Times New Roman"/>
          <w:sz w:val="24"/>
          <w:szCs w:val="24"/>
        </w:rPr>
        <w:t>114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/202</w:t>
      </w:r>
      <w:r w:rsidR="00456063" w:rsidRPr="00404C6A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D2B74" w:rsidRPr="00404C6A">
        <w:rPr>
          <w:rFonts w:ascii="Times New Roman" w:hAnsi="Times New Roman" w:cs="Times New Roman"/>
          <w:sz w:val="24"/>
          <w:szCs w:val="24"/>
        </w:rPr>
        <w:t xml:space="preserve"> </w:t>
      </w:r>
      <w:r w:rsidR="003D2B74"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D2B74" w:rsidRPr="00404C6A">
        <w:rPr>
          <w:rFonts w:ascii="Times New Roman" w:hAnsi="Times New Roman" w:cs="Times New Roman"/>
          <w:sz w:val="24"/>
          <w:szCs w:val="24"/>
        </w:rPr>
        <w:t>92/</w:t>
      </w:r>
      <w:r w:rsidR="00036824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3D2B74" w:rsidRPr="00404C6A">
        <w:rPr>
          <w:rFonts w:ascii="Times New Roman" w:hAnsi="Times New Roman" w:cs="Times New Roman"/>
          <w:sz w:val="24"/>
          <w:szCs w:val="24"/>
        </w:rPr>
        <w:t>23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), Уредбе о критеријумима за разврставање радних места и мерилима за опис радних места службеника у аутономним покрајини и јединицама локалне самоуправе  („Сл.гласник РС“, бр.88/2016, 113/17-др.закон, 86/19-др.закон, 157/2020-др.закон, 123/21-др.закон и 12/2022), члана 88. Статута општине Нова Варош ("Службени лист општине Нова Варош", бр.4/2019 и 4/2020), члана 14. Одлуке о организаци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и Општинске управе Нова Варош ("Службени лист општине Нова Варош", бр.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>25/2020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) и члана 2. и 4. Одлуке о Општинском правобранилаштву општине Нова Варош („Службени лист општине Нова Варош“, бр.5/2014 и 6/2014), Општинско веће општине Нова Варош</w:t>
      </w:r>
      <w:r w:rsidR="003B6477" w:rsidRPr="00404C6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 на предлог начелника Општинске управе</w:t>
      </w:r>
      <w:r w:rsidR="004129AC" w:rsidRPr="00404C6A">
        <w:rPr>
          <w:rFonts w:ascii="Times New Roman" w:hAnsi="Times New Roman" w:cs="Times New Roman"/>
          <w:sz w:val="24"/>
          <w:szCs w:val="24"/>
        </w:rPr>
        <w:t>,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F233F7">
        <w:rPr>
          <w:rFonts w:ascii="Times New Roman" w:hAnsi="Times New Roman" w:cs="Times New Roman"/>
          <w:sz w:val="24"/>
          <w:szCs w:val="24"/>
          <w:lang w:val="sr-Cyrl-RS"/>
        </w:rPr>
        <w:t xml:space="preserve"> 26.08.</w:t>
      </w:r>
      <w:r w:rsidR="003B6477" w:rsidRPr="00404C6A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3D2B74" w:rsidRPr="00404C6A">
        <w:rPr>
          <w:rFonts w:ascii="Times New Roman" w:hAnsi="Times New Roman" w:cs="Times New Roman"/>
          <w:sz w:val="24"/>
          <w:szCs w:val="24"/>
        </w:rPr>
        <w:t>4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.године, доноси</w:t>
      </w:r>
      <w:r w:rsidRPr="00404C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26015" w:rsidRPr="00404C6A" w:rsidRDefault="00F26015" w:rsidP="00404C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26015" w:rsidRPr="00404C6A" w:rsidRDefault="00F26015" w:rsidP="00404C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6015" w:rsidRPr="00404C6A" w:rsidRDefault="00F26015" w:rsidP="00404C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ПРАВИЛНИК </w:t>
      </w: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 w:rsidRPr="00404C6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ИЗМЕНИ </w:t>
      </w: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ПРАВИЛНИКА</w:t>
      </w:r>
    </w:p>
    <w:p w:rsidR="00F26015" w:rsidRPr="00404C6A" w:rsidRDefault="00F26015" w:rsidP="00404C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CS"/>
        </w:rPr>
        <w:t>О ОРГАНИЗАЦИЈИ И СИСТЕМАТИЗАЦИЈИ РАДНИХ МЕСТА У ОПШТИНСКОЈ УПРАВИ И ОПШТИНСКОМ ПРАВОБРАНИЛАШТВУ ОПШТИНЕ НОВА ВАРОШ</w:t>
      </w:r>
    </w:p>
    <w:p w:rsidR="005A52D8" w:rsidRPr="00404C6A" w:rsidRDefault="005A52D8" w:rsidP="00404C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A52D8" w:rsidRPr="00F233F7" w:rsidRDefault="005A52D8" w:rsidP="00404C6A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 w:rsidRPr="00F233F7">
        <w:rPr>
          <w:rFonts w:ascii="Times New Roman" w:hAnsi="Times New Roman" w:cs="Times New Roman"/>
          <w:b/>
          <w:lang w:val="sr-Cyrl-RS"/>
        </w:rPr>
        <w:t>Члан 1.</w:t>
      </w:r>
    </w:p>
    <w:p w:rsidR="00777456" w:rsidRPr="00404C6A" w:rsidRDefault="00583A07" w:rsidP="00404C6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 Обједињеном Правилни</w:t>
      </w:r>
      <w:r w:rsidR="003D2B74" w:rsidRPr="00404C6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>у о систематизацији радних места у Општинској управи и Општинском правобранилаштву општине Нова Варош („Службени лист општине Нова Варош“, бр.</w:t>
      </w:r>
      <w:r w:rsidRPr="00404C6A">
        <w:rPr>
          <w:rFonts w:ascii="Times New Roman" w:hAnsi="Times New Roman" w:cs="Times New Roman"/>
          <w:sz w:val="24"/>
          <w:szCs w:val="24"/>
        </w:rPr>
        <w:t>15/2022</w:t>
      </w:r>
      <w:r w:rsidR="009E6271" w:rsidRPr="00404C6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04C6A">
        <w:rPr>
          <w:rFonts w:ascii="Times New Roman" w:hAnsi="Times New Roman" w:cs="Times New Roman"/>
          <w:sz w:val="24"/>
          <w:szCs w:val="24"/>
        </w:rPr>
        <w:t xml:space="preserve"> 23/2022</w:t>
      </w:r>
      <w:r w:rsidR="009E6271" w:rsidRPr="00404C6A">
        <w:rPr>
          <w:rFonts w:ascii="Times New Roman" w:hAnsi="Times New Roman" w:cs="Times New Roman"/>
          <w:sz w:val="24"/>
          <w:szCs w:val="24"/>
        </w:rPr>
        <w:t xml:space="preserve"> </w:t>
      </w:r>
      <w:r w:rsidR="009E6271"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01129" w:rsidRPr="00404C6A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9E6271" w:rsidRPr="00404C6A">
        <w:rPr>
          <w:rFonts w:ascii="Times New Roman" w:hAnsi="Times New Roman" w:cs="Times New Roman"/>
          <w:sz w:val="24"/>
          <w:szCs w:val="24"/>
          <w:lang w:val="sr-Cyrl-RS"/>
        </w:rPr>
        <w:t>/23</w:t>
      </w:r>
      <w:r w:rsidR="009E6271" w:rsidRPr="00404C6A">
        <w:rPr>
          <w:rFonts w:ascii="Times New Roman" w:hAnsi="Times New Roman" w:cs="Times New Roman"/>
          <w:sz w:val="24"/>
          <w:szCs w:val="24"/>
        </w:rPr>
        <w:t xml:space="preserve"> 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>), мења се члан 4. и гласи:</w:t>
      </w:r>
      <w:r w:rsidR="00E70432" w:rsidRPr="00404C6A">
        <w:rPr>
          <w:rFonts w:ascii="Times New Roman" w:hAnsi="Times New Roman" w:cs="Times New Roman"/>
          <w:sz w:val="24"/>
          <w:szCs w:val="24"/>
          <w:lang w:val="sr-Cyrl-RS"/>
        </w:rPr>
        <w:br/>
        <w:t>„</w:t>
      </w:r>
      <w:r w:rsidR="00777456" w:rsidRPr="00404C6A">
        <w:rPr>
          <w:rFonts w:ascii="Times New Roman" w:hAnsi="Times New Roman" w:cs="Times New Roman"/>
          <w:sz w:val="24"/>
          <w:szCs w:val="24"/>
          <w:lang w:val="ru-RU"/>
        </w:rPr>
        <w:t xml:space="preserve">Овим Правилником систематизована су следећа радна места: </w:t>
      </w:r>
    </w:p>
    <w:p w:rsidR="00777456" w:rsidRPr="00404C6A" w:rsidRDefault="00777456" w:rsidP="00404C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7"/>
        <w:gridCol w:w="3175"/>
        <w:gridCol w:w="3194"/>
      </w:tblGrid>
      <w:tr w:rsidR="00777456" w:rsidRPr="00C53AE1" w:rsidTr="0072781B">
        <w:tc>
          <w:tcPr>
            <w:tcW w:w="3284" w:type="dxa"/>
            <w:shd w:val="clear" w:color="auto" w:fill="auto"/>
          </w:tcPr>
          <w:p w:rsidR="00777456" w:rsidRPr="00C53AE1" w:rsidRDefault="00777456" w:rsidP="00404C6A">
            <w:pPr>
              <w:pStyle w:val="NoSpacing"/>
              <w:rPr>
                <w:b/>
                <w:lang w:val="ru-RU"/>
              </w:rPr>
            </w:pPr>
            <w:r w:rsidRPr="00C53AE1">
              <w:rPr>
                <w:b/>
                <w:lang w:val="ru-RU"/>
              </w:rPr>
              <w:t xml:space="preserve">Функционери – изабрана и постављена лица 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777456" w:rsidRPr="00C53AE1" w:rsidRDefault="00777456" w:rsidP="00404C6A">
            <w:pPr>
              <w:pStyle w:val="NoSpacing"/>
              <w:rPr>
                <w:lang w:val="ru-RU"/>
              </w:rPr>
            </w:pPr>
            <w:r w:rsidRPr="00C53AE1">
              <w:rPr>
                <w:lang w:val="ru-RU"/>
              </w:rPr>
              <w:t xml:space="preserve">                            </w:t>
            </w:r>
            <w:r w:rsidR="003D2B74">
              <w:rPr>
                <w:lang w:val="ru-RU"/>
              </w:rPr>
              <w:t xml:space="preserve">                               1 функционер</w:t>
            </w:r>
          </w:p>
        </w:tc>
      </w:tr>
      <w:tr w:rsidR="00777456" w:rsidRPr="00C53AE1" w:rsidTr="0072781B">
        <w:tc>
          <w:tcPr>
            <w:tcW w:w="3284" w:type="dxa"/>
            <w:shd w:val="clear" w:color="auto" w:fill="auto"/>
          </w:tcPr>
          <w:p w:rsidR="00777456" w:rsidRPr="00C53AE1" w:rsidRDefault="00777456" w:rsidP="00404C6A">
            <w:pPr>
              <w:pStyle w:val="NoSpacing"/>
              <w:rPr>
                <w:b/>
                <w:lang w:val="sr-Cyrl-RS"/>
              </w:rPr>
            </w:pPr>
            <w:r w:rsidRPr="00C53AE1">
              <w:rPr>
                <w:b/>
                <w:lang w:val="ru-RU"/>
              </w:rPr>
              <w:t xml:space="preserve">Службеник на положају – </w:t>
            </w:r>
            <w:r w:rsidRPr="00C53AE1">
              <w:rPr>
                <w:b/>
                <w:lang w:val="sr-Latn-RS"/>
              </w:rPr>
              <w:t xml:space="preserve">I </w:t>
            </w:r>
            <w:r w:rsidRPr="00C53AE1">
              <w:rPr>
                <w:b/>
                <w:lang w:val="sr-Cyrl-RS"/>
              </w:rPr>
              <w:t>група</w:t>
            </w:r>
          </w:p>
        </w:tc>
        <w:tc>
          <w:tcPr>
            <w:tcW w:w="3285" w:type="dxa"/>
            <w:shd w:val="clear" w:color="auto" w:fill="auto"/>
          </w:tcPr>
          <w:p w:rsidR="00777456" w:rsidRPr="00C53AE1" w:rsidRDefault="00777456" w:rsidP="00404C6A">
            <w:pPr>
              <w:pStyle w:val="NoSpacing"/>
              <w:rPr>
                <w:lang w:val="ru-RU"/>
              </w:rPr>
            </w:pPr>
            <w:r w:rsidRPr="00C53AE1">
              <w:rPr>
                <w:lang w:val="ru-RU"/>
              </w:rPr>
              <w:t>1 радно место</w:t>
            </w:r>
          </w:p>
        </w:tc>
        <w:tc>
          <w:tcPr>
            <w:tcW w:w="3285" w:type="dxa"/>
            <w:shd w:val="clear" w:color="auto" w:fill="auto"/>
          </w:tcPr>
          <w:p w:rsidR="00777456" w:rsidRPr="00C53AE1" w:rsidRDefault="00777456" w:rsidP="00404C6A">
            <w:pPr>
              <w:pStyle w:val="NoSpacing"/>
              <w:rPr>
                <w:lang w:val="ru-RU"/>
              </w:rPr>
            </w:pPr>
            <w:r w:rsidRPr="00C53AE1">
              <w:rPr>
                <w:lang w:val="ru-RU"/>
              </w:rPr>
              <w:t>1 службеник</w:t>
            </w:r>
          </w:p>
        </w:tc>
      </w:tr>
    </w:tbl>
    <w:p w:rsidR="00777456" w:rsidRPr="00C53AE1" w:rsidRDefault="00777456" w:rsidP="00404C6A">
      <w:pPr>
        <w:pStyle w:val="NoSpacing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3"/>
        <w:gridCol w:w="3172"/>
        <w:gridCol w:w="3201"/>
      </w:tblGrid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highlight w:val="lightGray"/>
                <w:lang w:val="ru-RU"/>
              </w:rPr>
            </w:pPr>
            <w:r w:rsidRPr="00931EA5">
              <w:rPr>
                <w:b/>
                <w:highlight w:val="lightGray"/>
                <w:lang w:val="ru-RU"/>
              </w:rPr>
              <w:t>Службеници-извршиоци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highlight w:val="lightGray"/>
                <w:lang w:val="ru-RU"/>
              </w:rPr>
            </w:pPr>
            <w:r w:rsidRPr="00931EA5">
              <w:rPr>
                <w:b/>
                <w:highlight w:val="lightGray"/>
                <w:lang w:val="ru-RU"/>
              </w:rPr>
              <w:t>Број радних места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lang w:val="ru-RU"/>
              </w:rPr>
            </w:pPr>
            <w:r w:rsidRPr="00931EA5">
              <w:rPr>
                <w:b/>
                <w:highlight w:val="lightGray"/>
                <w:lang w:val="ru-RU"/>
              </w:rPr>
              <w:t>Број службеника</w:t>
            </w: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Самостални саветник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7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7</w:t>
            </w: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Саветник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23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27</w:t>
            </w: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Млађи саветник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Сарадник</w:t>
            </w:r>
          </w:p>
        </w:tc>
        <w:tc>
          <w:tcPr>
            <w:tcW w:w="3285" w:type="dxa"/>
            <w:shd w:val="clear" w:color="auto" w:fill="auto"/>
          </w:tcPr>
          <w:p w:rsidR="00777456" w:rsidRPr="0072781B" w:rsidRDefault="0072781B" w:rsidP="00404C6A">
            <w:pPr>
              <w:pStyle w:val="NoSpacing"/>
            </w:pPr>
            <w:r>
              <w:t>8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8</w:t>
            </w: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Млађи сарадник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Виши референт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12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Референт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Млађи референт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lang w:val="ru-RU"/>
              </w:rPr>
            </w:pPr>
            <w:r w:rsidRPr="00931EA5">
              <w:rPr>
                <w:b/>
                <w:lang w:val="ru-RU"/>
              </w:rPr>
              <w:t>Укупно: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2781B" w:rsidP="00404C6A">
            <w:pPr>
              <w:pStyle w:val="NoSpacing"/>
              <w:rPr>
                <w:b/>
                <w:lang w:val="ru-RU"/>
              </w:rPr>
            </w:pPr>
            <w:r>
              <w:rPr>
                <w:b/>
              </w:rPr>
              <w:t>50</w:t>
            </w:r>
            <w:r w:rsidR="00777456" w:rsidRPr="00931EA5">
              <w:rPr>
                <w:b/>
                <w:lang w:val="ru-RU"/>
              </w:rPr>
              <w:t xml:space="preserve"> радних места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2781B" w:rsidP="00404C6A">
            <w:pPr>
              <w:pStyle w:val="NoSpacing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  <w:r>
              <w:rPr>
                <w:b/>
              </w:rPr>
              <w:t>7</w:t>
            </w:r>
            <w:r w:rsidR="00777456" w:rsidRPr="00931EA5">
              <w:rPr>
                <w:b/>
                <w:lang w:val="ru-RU"/>
              </w:rPr>
              <w:t xml:space="preserve"> службеника</w:t>
            </w: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highlight w:val="lightGray"/>
                <w:lang w:val="ru-RU"/>
              </w:rPr>
            </w:pPr>
            <w:r w:rsidRPr="00931EA5">
              <w:rPr>
                <w:b/>
                <w:highlight w:val="lightGray"/>
                <w:lang w:val="ru-RU"/>
              </w:rPr>
              <w:t>Намештеници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highlight w:val="lightGray"/>
                <w:lang w:val="ru-RU"/>
              </w:rPr>
            </w:pPr>
            <w:r w:rsidRPr="00931EA5">
              <w:rPr>
                <w:b/>
                <w:highlight w:val="lightGray"/>
                <w:lang w:val="ru-RU"/>
              </w:rPr>
              <w:t>Број радних места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lang w:val="ru-RU"/>
              </w:rPr>
            </w:pPr>
            <w:r w:rsidRPr="00931EA5">
              <w:rPr>
                <w:b/>
                <w:highlight w:val="lightGray"/>
                <w:lang w:val="ru-RU"/>
              </w:rPr>
              <w:t>Број намештеника</w:t>
            </w: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Прва врста радних места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Друга врста радних места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Трећа врста радних места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Четврта врста радних места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85" w:type="dxa"/>
            <w:shd w:val="clear" w:color="auto" w:fill="auto"/>
          </w:tcPr>
          <w:p w:rsidR="00777456" w:rsidRPr="00BC24A6" w:rsidRDefault="00BC24A6" w:rsidP="00404C6A">
            <w:pPr>
              <w:pStyle w:val="NoSpacing"/>
            </w:pPr>
            <w:r>
              <w:t>1</w:t>
            </w: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Пета врста радних места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 w:rsidRPr="00931EA5">
              <w:rPr>
                <w:lang w:val="ru-RU"/>
              </w:rPr>
              <w:t>1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77456" w:rsidRPr="00931EA5" w:rsidTr="0072781B">
        <w:tc>
          <w:tcPr>
            <w:tcW w:w="3284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lang w:val="ru-RU"/>
              </w:rPr>
            </w:pPr>
            <w:r w:rsidRPr="00931EA5">
              <w:rPr>
                <w:b/>
                <w:lang w:val="ru-RU"/>
              </w:rPr>
              <w:t>Укупно: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lang w:val="ru-RU"/>
              </w:rPr>
            </w:pPr>
            <w:r>
              <w:rPr>
                <w:b/>
                <w:lang w:val="ru-RU"/>
              </w:rPr>
              <w:t>2 радна места</w:t>
            </w:r>
          </w:p>
        </w:tc>
        <w:tc>
          <w:tcPr>
            <w:tcW w:w="3285" w:type="dxa"/>
            <w:shd w:val="clear" w:color="auto" w:fill="auto"/>
          </w:tcPr>
          <w:p w:rsidR="00777456" w:rsidRPr="00931EA5" w:rsidRDefault="00777456" w:rsidP="00404C6A">
            <w:pPr>
              <w:pStyle w:val="NoSpacing"/>
              <w:rPr>
                <w:b/>
                <w:lang w:val="ru-RU"/>
              </w:rPr>
            </w:pPr>
            <w:r w:rsidRPr="00931EA5">
              <w:rPr>
                <w:b/>
                <w:lang w:val="ru-RU"/>
              </w:rPr>
              <w:t>2 намештеника</w:t>
            </w:r>
          </w:p>
        </w:tc>
      </w:tr>
    </w:tbl>
    <w:p w:rsidR="00F233F7" w:rsidRDefault="00F233F7" w:rsidP="00404C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233F7" w:rsidRDefault="00F233F7" w:rsidP="00404C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233F7" w:rsidRDefault="00F233F7" w:rsidP="00404C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83A07" w:rsidRPr="00036824" w:rsidRDefault="005A52D8" w:rsidP="00404C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36824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:rsidR="00D01129" w:rsidRDefault="00D01129" w:rsidP="00404C6A">
      <w:pPr>
        <w:pStyle w:val="NoSpacing"/>
        <w:rPr>
          <w:b/>
          <w:lang w:val="sr-Cyrl-RS"/>
        </w:rPr>
      </w:pPr>
    </w:p>
    <w:p w:rsidR="009A6105" w:rsidRPr="00404C6A" w:rsidRDefault="003D2B74" w:rsidP="00036824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4C6A">
        <w:rPr>
          <w:rFonts w:ascii="Times New Roman" w:hAnsi="Times New Roman" w:cs="Times New Roman"/>
          <w:sz w:val="24"/>
          <w:szCs w:val="24"/>
          <w:lang w:val="sr-Cyrl-RS"/>
        </w:rPr>
        <w:t>Члан 25</w:t>
      </w:r>
      <w:r w:rsidR="009A6105"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 у одељку </w:t>
      </w:r>
      <w:r w:rsidR="00583A07"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6105" w:rsidRPr="00404C6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«Посебна организациона јединица – кабинет председника општине», </w:t>
      </w:r>
      <w:r w:rsidR="00583A07" w:rsidRPr="00404C6A">
        <w:rPr>
          <w:rFonts w:ascii="Times New Roman" w:hAnsi="Times New Roman" w:cs="Times New Roman"/>
          <w:sz w:val="24"/>
          <w:szCs w:val="24"/>
          <w:lang w:val="sr-Cyrl-RS"/>
        </w:rPr>
        <w:t>мења се и гласи</w:t>
      </w:r>
      <w:r w:rsidR="009A6105" w:rsidRPr="00404C6A">
        <w:rPr>
          <w:rFonts w:ascii="Times New Roman" w:hAnsi="Times New Roman" w:cs="Times New Roman"/>
          <w:sz w:val="24"/>
          <w:szCs w:val="24"/>
        </w:rPr>
        <w:t xml:space="preserve"> </w:t>
      </w:r>
      <w:r w:rsidR="00583A07" w:rsidRPr="00404C6A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9A6105" w:rsidRPr="00404C6A">
        <w:rPr>
          <w:rFonts w:ascii="Times New Roman" w:hAnsi="Times New Roman" w:cs="Times New Roman"/>
          <w:b/>
          <w:sz w:val="24"/>
          <w:szCs w:val="24"/>
          <w:lang w:val="ru-RU" w:eastAsia="ar-SA"/>
        </w:rPr>
        <w:tab/>
      </w:r>
    </w:p>
    <w:p w:rsidR="009A6105" w:rsidRPr="00404C6A" w:rsidRDefault="009A6105" w:rsidP="00404C6A">
      <w:pPr>
        <w:pStyle w:val="NoSpacing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1.Помоћник председника општине за и</w:t>
      </w:r>
      <w:proofErr w:type="spellStart"/>
      <w:r w:rsidRPr="00404C6A">
        <w:rPr>
          <w:rFonts w:ascii="Times New Roman" w:hAnsi="Times New Roman" w:cs="Times New Roman"/>
          <w:b/>
          <w:sz w:val="24"/>
          <w:szCs w:val="24"/>
        </w:rPr>
        <w:t>нвестициј</w:t>
      </w:r>
      <w:proofErr w:type="spellEnd"/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е,</w:t>
      </w:r>
      <w:r w:rsidRPr="00404C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C6A">
        <w:rPr>
          <w:rFonts w:ascii="Times New Roman" w:hAnsi="Times New Roman" w:cs="Times New Roman"/>
          <w:b/>
          <w:sz w:val="24"/>
          <w:szCs w:val="24"/>
        </w:rPr>
        <w:t>комуналн</w:t>
      </w:r>
      <w:proofErr w:type="spellEnd"/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Pr="00404C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C6A">
        <w:rPr>
          <w:rFonts w:ascii="Times New Roman" w:hAnsi="Times New Roman" w:cs="Times New Roman"/>
          <w:b/>
          <w:sz w:val="24"/>
          <w:szCs w:val="24"/>
        </w:rPr>
        <w:t>делатности</w:t>
      </w:r>
      <w:proofErr w:type="spellEnd"/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404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п</w:t>
      </w:r>
      <w:proofErr w:type="spellStart"/>
      <w:r w:rsidRPr="00404C6A">
        <w:rPr>
          <w:rFonts w:ascii="Times New Roman" w:hAnsi="Times New Roman" w:cs="Times New Roman"/>
          <w:b/>
          <w:sz w:val="24"/>
          <w:szCs w:val="24"/>
        </w:rPr>
        <w:t>ривред</w:t>
      </w:r>
      <w:proofErr w:type="spellEnd"/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 w:rsidRPr="00404C6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404C6A">
        <w:rPr>
          <w:rFonts w:ascii="Times New Roman" w:hAnsi="Times New Roman" w:cs="Times New Roman"/>
          <w:b/>
          <w:sz w:val="24"/>
          <w:szCs w:val="24"/>
        </w:rPr>
        <w:t>економск</w:t>
      </w:r>
      <w:proofErr w:type="spellEnd"/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404C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C6A">
        <w:rPr>
          <w:rFonts w:ascii="Times New Roman" w:hAnsi="Times New Roman" w:cs="Times New Roman"/>
          <w:b/>
          <w:sz w:val="24"/>
          <w:szCs w:val="24"/>
        </w:rPr>
        <w:t>развој</w:t>
      </w:r>
      <w:proofErr w:type="spellEnd"/>
    </w:p>
    <w:p w:rsidR="009A6105" w:rsidRPr="00404C6A" w:rsidRDefault="009A6105" w:rsidP="00404C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Опис послова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404C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Прикупља податке за инвестирање у општину, прати покривеност комуналном инфраструктуром на подручју општине, сагледава потреба за унапређење квалитета живота на селу, сарађује са месним заједницама, </w:t>
      </w:r>
      <w:r w:rsidRPr="00404C6A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са ресорним министарствима, као и другим органима, организацијама и институцијама; подстицање и старање о економском развоју,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 припрема извештаје и информације по захтеву председника општине, обавља и друге послове по налогу председника општине. </w:t>
      </w:r>
    </w:p>
    <w:p w:rsidR="009A6105" w:rsidRPr="00404C6A" w:rsidRDefault="009A6105" w:rsidP="00404C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04C6A">
        <w:rPr>
          <w:rFonts w:ascii="Times New Roman" w:hAnsi="Times New Roman" w:cs="Times New Roman"/>
          <w:b/>
          <w:sz w:val="24"/>
          <w:szCs w:val="24"/>
          <w:lang w:val="ru-RU" w:eastAsia="ar-SA"/>
        </w:rPr>
        <w:t>Услови:</w:t>
      </w:r>
      <w:r w:rsidRPr="00404C6A">
        <w:rPr>
          <w:rFonts w:ascii="Times New Roman" w:hAnsi="Times New Roman" w:cs="Times New Roman"/>
          <w:bCs/>
          <w:sz w:val="24"/>
          <w:szCs w:val="24"/>
          <w:lang w:val="ru-RU" w:eastAsia="ar-SA"/>
        </w:rPr>
        <w:t xml:space="preserve"> 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>Стечено средње образовање.</w:t>
      </w:r>
    </w:p>
    <w:p w:rsidR="009A6105" w:rsidRPr="00404C6A" w:rsidRDefault="009A6105" w:rsidP="00404C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15CA9" w:rsidRPr="00404C6A" w:rsidRDefault="00F233F7" w:rsidP="00404C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3</w:t>
      </w:r>
      <w:r w:rsidR="00EF7601"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515CA9" w:rsidRPr="009356DC" w:rsidRDefault="00515CA9" w:rsidP="00404C6A">
      <w:pPr>
        <w:pStyle w:val="NoSpacing"/>
        <w:rPr>
          <w:b/>
          <w:lang w:val="sr-Cyrl-RS"/>
        </w:rPr>
      </w:pPr>
    </w:p>
    <w:p w:rsidR="00F26015" w:rsidRPr="00404C6A" w:rsidRDefault="00F26015" w:rsidP="000062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4C6A">
        <w:rPr>
          <w:rFonts w:ascii="Times New Roman" w:hAnsi="Times New Roman" w:cs="Times New Roman"/>
          <w:sz w:val="24"/>
          <w:szCs w:val="24"/>
          <w:lang w:val="ru-RU"/>
        </w:rPr>
        <w:t>Овај Правилник ступа на снагу ос</w:t>
      </w:r>
      <w:r w:rsidR="00B00596" w:rsidRPr="00404C6A">
        <w:rPr>
          <w:rFonts w:ascii="Times New Roman" w:hAnsi="Times New Roman" w:cs="Times New Roman"/>
          <w:sz w:val="24"/>
          <w:szCs w:val="24"/>
          <w:lang w:val="ru-RU"/>
        </w:rPr>
        <w:t xml:space="preserve">мог дана од дана објављивања у </w:t>
      </w:r>
      <w:r w:rsidR="00B00596" w:rsidRPr="00404C6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404C6A">
        <w:rPr>
          <w:rFonts w:ascii="Times New Roman" w:hAnsi="Times New Roman" w:cs="Times New Roman"/>
          <w:sz w:val="24"/>
          <w:szCs w:val="24"/>
          <w:lang w:val="ru-RU"/>
        </w:rPr>
        <w:t>Службеном листу општине Нова Варош</w:t>
      </w:r>
      <w:r w:rsidR="00B00596" w:rsidRPr="00404C6A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404C6A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</w:p>
    <w:p w:rsidR="00F26015" w:rsidRPr="00404C6A" w:rsidRDefault="00F26015" w:rsidP="00404C6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233F7" w:rsidRDefault="00F233F7" w:rsidP="00F233F7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/>
          <w:b/>
          <w:sz w:val="28"/>
          <w:szCs w:val="28"/>
          <w:lang w:val="sr-Cyrl-CS"/>
        </w:rPr>
        <w:t>ОПШТИНСКО ВЕЋЕ ОПШТИНЕ НОВА ВАРОШ</w:t>
      </w:r>
    </w:p>
    <w:p w:rsidR="00F233F7" w:rsidRDefault="00F233F7" w:rsidP="00F233F7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/>
          <w:b/>
          <w:sz w:val="28"/>
          <w:szCs w:val="28"/>
          <w:lang w:val="sr-Cyrl-CS"/>
        </w:rPr>
        <w:t>БРОЈ:06-65/3</w:t>
      </w:r>
      <w:r w:rsidR="00B373E0">
        <w:rPr>
          <w:rFonts w:ascii="Times New Roman" w:eastAsia="Times New Roman" w:hAnsi="Times New Roman"/>
          <w:b/>
          <w:sz w:val="28"/>
          <w:szCs w:val="28"/>
          <w:lang w:val="sr-Cyrl-CS"/>
        </w:rPr>
        <w:t>-1</w:t>
      </w:r>
      <w:r>
        <w:rPr>
          <w:rFonts w:ascii="Times New Roman" w:eastAsia="Times New Roman" w:hAnsi="Times New Roman"/>
          <w:b/>
          <w:sz w:val="28"/>
          <w:szCs w:val="28"/>
          <w:lang w:val="sr-Cyrl-CS"/>
        </w:rPr>
        <w:t>/2024-03 од 26.08.2024.године</w:t>
      </w:r>
    </w:p>
    <w:p w:rsidR="00F233F7" w:rsidRDefault="00F233F7" w:rsidP="00F233F7"/>
    <w:p w:rsidR="009356DC" w:rsidRDefault="009356DC" w:rsidP="00F233F7">
      <w:pPr>
        <w:pStyle w:val="NoSpacing"/>
        <w:rPr>
          <w:b/>
          <w:lang w:val="sr-Cyrl-CS"/>
        </w:rPr>
      </w:pPr>
    </w:p>
    <w:p w:rsidR="009356DC" w:rsidRPr="00F26015" w:rsidRDefault="009356DC" w:rsidP="00404C6A">
      <w:pPr>
        <w:pStyle w:val="NoSpacing"/>
        <w:rPr>
          <w:b/>
          <w:lang w:val="sr-Cyrl-CS"/>
        </w:rPr>
      </w:pPr>
    </w:p>
    <w:p w:rsidR="00F26015" w:rsidRPr="00404C6A" w:rsidRDefault="00F26015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  <w:r w:rsidRPr="00404C6A">
        <w:rPr>
          <w:rFonts w:ascii="Times New Roman" w:hAnsi="Times New Roman" w:cs="Times New Roman"/>
          <w:b/>
          <w:lang w:val="sr-Cyrl-RS"/>
        </w:rPr>
        <w:t>ПРЕДСЕДНИК</w:t>
      </w:r>
    </w:p>
    <w:p w:rsidR="00F26015" w:rsidRPr="00404C6A" w:rsidRDefault="00F26015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  <w:r w:rsidRPr="00404C6A">
        <w:rPr>
          <w:rFonts w:ascii="Times New Roman" w:hAnsi="Times New Roman" w:cs="Times New Roman"/>
          <w:b/>
          <w:lang w:val="sr-Cyrl-RS"/>
        </w:rPr>
        <w:t>Општинског већа</w:t>
      </w:r>
    </w:p>
    <w:p w:rsidR="00F26015" w:rsidRPr="00404C6A" w:rsidRDefault="00404C6A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  <w:r w:rsidRPr="00404C6A">
        <w:rPr>
          <w:rFonts w:ascii="Times New Roman" w:hAnsi="Times New Roman" w:cs="Times New Roman"/>
          <w:b/>
          <w:lang w:val="sr-Cyrl-RS"/>
        </w:rPr>
        <w:t>Бранко Бјелић</w:t>
      </w:r>
    </w:p>
    <w:p w:rsidR="00404C6A" w:rsidRDefault="00404C6A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F233F7" w:rsidRPr="00404C6A" w:rsidRDefault="00F233F7" w:rsidP="00404C6A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</w:p>
    <w:p w:rsidR="004129AC" w:rsidRPr="00404C6A" w:rsidRDefault="00F26015" w:rsidP="00404C6A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4C6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 б р а з л о ж е њ е</w:t>
      </w:r>
    </w:p>
    <w:p w:rsidR="004129AC" w:rsidRDefault="004129AC" w:rsidP="00404C6A">
      <w:pPr>
        <w:pStyle w:val="NoSpacing"/>
      </w:pPr>
    </w:p>
    <w:p w:rsidR="00F26015" w:rsidRPr="00404C6A" w:rsidRDefault="00F26015" w:rsidP="00404C6A">
      <w:pPr>
        <w:pStyle w:val="NoSpacing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04C6A">
        <w:rPr>
          <w:rFonts w:ascii="Times New Roman" w:hAnsi="Times New Roman" w:cs="Times New Roman"/>
          <w:sz w:val="24"/>
          <w:szCs w:val="24"/>
          <w:lang w:val="sr-Cyrl-CS"/>
        </w:rPr>
        <w:t>Чланом 58. Закона о о запосленима у аутономним покрајинама и јединицама локалне самоуправе („Сл.гласник РС“, бр.21/</w:t>
      </w:r>
      <w:r w:rsidR="00036824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036824">
        <w:rPr>
          <w:rFonts w:ascii="Times New Roman" w:hAnsi="Times New Roman" w:cs="Times New Roman"/>
          <w:sz w:val="24"/>
          <w:szCs w:val="24"/>
          <w:lang w:val="sr-Cyrl-CS"/>
        </w:rPr>
        <w:t xml:space="preserve">,113/2017, 95/2018, </w:t>
      </w:r>
      <w:r w:rsidR="00B00596" w:rsidRPr="00404C6A">
        <w:rPr>
          <w:rFonts w:ascii="Times New Roman" w:hAnsi="Times New Roman" w:cs="Times New Roman"/>
          <w:sz w:val="24"/>
          <w:szCs w:val="24"/>
        </w:rPr>
        <w:t>114</w:t>
      </w:r>
      <w:r w:rsidR="00B00596" w:rsidRPr="00404C6A">
        <w:rPr>
          <w:rFonts w:ascii="Times New Roman" w:hAnsi="Times New Roman" w:cs="Times New Roman"/>
          <w:sz w:val="24"/>
          <w:szCs w:val="24"/>
          <w:lang w:val="sr-Cyrl-CS"/>
        </w:rPr>
        <w:t>/2022</w:t>
      </w:r>
      <w:r w:rsidR="00036824">
        <w:rPr>
          <w:rFonts w:ascii="Times New Roman" w:hAnsi="Times New Roman" w:cs="Times New Roman"/>
          <w:sz w:val="24"/>
          <w:szCs w:val="24"/>
          <w:lang w:val="sr-Cyrl-CS"/>
        </w:rPr>
        <w:t xml:space="preserve"> и 92/2023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), прописано је да Општинско веће, на предлог начелника Општинске управе доноси Правилник о организацији и систематизацији радних места у Општинској управи. </w:t>
      </w:r>
    </w:p>
    <w:p w:rsidR="00F26015" w:rsidRPr="00404C6A" w:rsidRDefault="00F26015" w:rsidP="00404C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4C6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Чланом 88. Статута општине Нова Варош („Сл.лист општине Нова Варош“, бр.4/2019 и 4/2020) прописано је да начелник Управе припрема Правилник о унутрашњем уређењу системтизације Општинске управе, посебних органа, служби и организација обједињује начелник Општинске управе и доставља Општинском већу на усвајање. 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26015" w:rsidRPr="00404C6A" w:rsidRDefault="00F26015" w:rsidP="00404C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sz w:val="24"/>
          <w:szCs w:val="24"/>
          <w:lang w:val="sr-Cyrl-RS"/>
        </w:rPr>
        <w:tab/>
        <w:t>Обзиром да је Општинско веће орган надлежан за доноше</w:t>
      </w:r>
      <w:r w:rsidR="00B00596" w:rsidRPr="00404C6A">
        <w:rPr>
          <w:rFonts w:ascii="Times New Roman" w:hAnsi="Times New Roman" w:cs="Times New Roman"/>
          <w:sz w:val="24"/>
          <w:szCs w:val="24"/>
          <w:lang w:val="sr-Cyrl-RS"/>
        </w:rPr>
        <w:t>ње наведеног Правилника, то се П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>редлог</w:t>
      </w:r>
      <w:r w:rsidR="00B00596"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 измене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Правилника о систематизацији радних  места у Општинској управи и Општинском правобранилаштву општине Нова Варош доставља истом на разматрање и усвајање. </w:t>
      </w:r>
    </w:p>
    <w:p w:rsidR="00F26015" w:rsidRPr="00404C6A" w:rsidRDefault="00F26015" w:rsidP="00404C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26015" w:rsidRPr="00404C6A" w:rsidRDefault="004B2A24" w:rsidP="00404C6A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ПРЕДЛАГАЧ</w:t>
      </w:r>
    </w:p>
    <w:p w:rsidR="00E70432" w:rsidRPr="00F26015" w:rsidRDefault="00E70432" w:rsidP="00404C6A">
      <w:pPr>
        <w:pStyle w:val="NoSpacing"/>
        <w:jc w:val="right"/>
        <w:rPr>
          <w:b/>
          <w:lang w:val="sr-Cyrl-RS"/>
        </w:rPr>
      </w:pPr>
    </w:p>
    <w:p w:rsidR="00F26015" w:rsidRPr="00404C6A" w:rsidRDefault="00435E9C" w:rsidP="00404C6A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В.Д. </w:t>
      </w:r>
      <w:r w:rsidR="00F26015"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НАЧЕЛНИК</w:t>
      </w:r>
      <w:r w:rsidR="00633B16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:rsidR="00F26015" w:rsidRPr="00404C6A" w:rsidRDefault="00F26015" w:rsidP="00404C6A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Општинске управе</w:t>
      </w:r>
    </w:p>
    <w:p w:rsidR="00F26015" w:rsidRPr="00404C6A" w:rsidRDefault="00404C6A" w:rsidP="00404C6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Ружа Матовић</w:t>
      </w:r>
    </w:p>
    <w:sectPr w:rsidR="00F26015" w:rsidRPr="00404C6A" w:rsidSect="00F233F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37512"/>
    <w:multiLevelType w:val="multilevel"/>
    <w:tmpl w:val="35AA40C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015"/>
    <w:rsid w:val="00006264"/>
    <w:rsid w:val="00031D13"/>
    <w:rsid w:val="00036824"/>
    <w:rsid w:val="000708F4"/>
    <w:rsid w:val="000C5DB9"/>
    <w:rsid w:val="000F1646"/>
    <w:rsid w:val="0012236F"/>
    <w:rsid w:val="00181B9B"/>
    <w:rsid w:val="00190D2F"/>
    <w:rsid w:val="001C5225"/>
    <w:rsid w:val="001E7F50"/>
    <w:rsid w:val="002361DB"/>
    <w:rsid w:val="00246A41"/>
    <w:rsid w:val="00326D87"/>
    <w:rsid w:val="00362E8F"/>
    <w:rsid w:val="003665B8"/>
    <w:rsid w:val="00375BA5"/>
    <w:rsid w:val="003B6477"/>
    <w:rsid w:val="003D2B74"/>
    <w:rsid w:val="00404C6A"/>
    <w:rsid w:val="004129AC"/>
    <w:rsid w:val="00435E9C"/>
    <w:rsid w:val="00456063"/>
    <w:rsid w:val="004654CF"/>
    <w:rsid w:val="004B2A24"/>
    <w:rsid w:val="004B6CBC"/>
    <w:rsid w:val="004D189B"/>
    <w:rsid w:val="00515CA9"/>
    <w:rsid w:val="00552558"/>
    <w:rsid w:val="00572312"/>
    <w:rsid w:val="00583A07"/>
    <w:rsid w:val="005A52D8"/>
    <w:rsid w:val="005E60A4"/>
    <w:rsid w:val="00633B16"/>
    <w:rsid w:val="006639D2"/>
    <w:rsid w:val="00681F15"/>
    <w:rsid w:val="006B4DF2"/>
    <w:rsid w:val="006D3DF6"/>
    <w:rsid w:val="0072781B"/>
    <w:rsid w:val="007577B1"/>
    <w:rsid w:val="00777456"/>
    <w:rsid w:val="00786C2A"/>
    <w:rsid w:val="00871D06"/>
    <w:rsid w:val="008B5577"/>
    <w:rsid w:val="008B6564"/>
    <w:rsid w:val="009356DC"/>
    <w:rsid w:val="00990285"/>
    <w:rsid w:val="009A6105"/>
    <w:rsid w:val="009D009F"/>
    <w:rsid w:val="009E6271"/>
    <w:rsid w:val="00A110A6"/>
    <w:rsid w:val="00A27807"/>
    <w:rsid w:val="00A65193"/>
    <w:rsid w:val="00B00596"/>
    <w:rsid w:val="00B373E0"/>
    <w:rsid w:val="00B625D8"/>
    <w:rsid w:val="00B74159"/>
    <w:rsid w:val="00BB69E4"/>
    <w:rsid w:val="00BC24A6"/>
    <w:rsid w:val="00C355B8"/>
    <w:rsid w:val="00CD52B8"/>
    <w:rsid w:val="00D01129"/>
    <w:rsid w:val="00D502CB"/>
    <w:rsid w:val="00DD53B2"/>
    <w:rsid w:val="00E65F2C"/>
    <w:rsid w:val="00E70432"/>
    <w:rsid w:val="00EF7601"/>
    <w:rsid w:val="00F233F7"/>
    <w:rsid w:val="00F26015"/>
    <w:rsid w:val="00F53377"/>
    <w:rsid w:val="00F707BF"/>
    <w:rsid w:val="00FB0520"/>
    <w:rsid w:val="00FB0AF2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3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0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4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04C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3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0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4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04C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6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3F1DE-7E17-4AEF-9405-2429760BE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11</cp:revision>
  <cp:lastPrinted>2024-08-26T09:13:00Z</cp:lastPrinted>
  <dcterms:created xsi:type="dcterms:W3CDTF">2024-08-20T08:05:00Z</dcterms:created>
  <dcterms:modified xsi:type="dcterms:W3CDTF">2024-08-26T09:13:00Z</dcterms:modified>
</cp:coreProperties>
</file>